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69174B0D" w:rsidR="00E1257C" w:rsidRPr="00E1257C" w:rsidRDefault="002E4C45" w:rsidP="00E1257C">
      <w:pPr>
        <w:spacing w:line="360" w:lineRule="auto"/>
        <w:ind w:firstLine="709"/>
        <w:jc w:val="both"/>
        <w:rPr>
          <w:rFonts w:ascii="Century" w:hAnsi="Century"/>
        </w:rPr>
      </w:pPr>
      <w:r>
        <w:rPr>
          <w:rFonts w:ascii="Century" w:hAnsi="Century"/>
        </w:rPr>
        <w:t>León, Guanajuato, a 3</w:t>
      </w:r>
      <w:r w:rsidR="00217200">
        <w:rPr>
          <w:rFonts w:ascii="Century" w:hAnsi="Century"/>
        </w:rPr>
        <w:t>1</w:t>
      </w:r>
      <w:r>
        <w:rPr>
          <w:rFonts w:ascii="Century" w:hAnsi="Century"/>
        </w:rPr>
        <w:t xml:space="preserve"> treinta</w:t>
      </w:r>
      <w:r w:rsidR="00217200">
        <w:rPr>
          <w:rFonts w:ascii="Century" w:hAnsi="Century"/>
        </w:rPr>
        <w:t xml:space="preserve"> y uno</w:t>
      </w:r>
      <w:r w:rsidR="00E1257C">
        <w:rPr>
          <w:rFonts w:ascii="Century" w:hAnsi="Century"/>
        </w:rPr>
        <w:t xml:space="preserve"> de mayo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181385D5"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bookmarkStart w:id="0" w:name="_GoBack"/>
      <w:r w:rsidRPr="00E1257C">
        <w:rPr>
          <w:rFonts w:ascii="Century" w:hAnsi="Century"/>
          <w:b/>
        </w:rPr>
        <w:t>1</w:t>
      </w:r>
      <w:r>
        <w:rPr>
          <w:rFonts w:ascii="Century" w:hAnsi="Century"/>
          <w:b/>
        </w:rPr>
        <w:t>48</w:t>
      </w:r>
      <w:r w:rsidR="00217200">
        <w:rPr>
          <w:rFonts w:ascii="Century" w:hAnsi="Century"/>
          <w:b/>
        </w:rPr>
        <w:t>0</w:t>
      </w:r>
      <w:r w:rsidRPr="00E1257C">
        <w:rPr>
          <w:rFonts w:ascii="Century" w:hAnsi="Century"/>
          <w:b/>
        </w:rPr>
        <w:t>/3erJAM/2017-JN</w:t>
      </w:r>
      <w:r w:rsidRPr="00E1257C">
        <w:rPr>
          <w:rFonts w:ascii="Century" w:hAnsi="Century"/>
        </w:rPr>
        <w:t>,</w:t>
      </w:r>
      <w:bookmarkEnd w:id="0"/>
      <w:r w:rsidRPr="00E1257C">
        <w:rPr>
          <w:rFonts w:ascii="Century" w:hAnsi="Century"/>
        </w:rPr>
        <w:t xml:space="preserve"> que contiene las actuaciones del proceso administrativo iniciado con motivo de la demanda interpuesta por </w:t>
      </w:r>
      <w:r w:rsidR="00217200">
        <w:rPr>
          <w:rFonts w:ascii="Century" w:hAnsi="Century"/>
        </w:rPr>
        <w:t>el ciudadano</w:t>
      </w:r>
      <w:r w:rsidRPr="00E1257C">
        <w:rPr>
          <w:rFonts w:ascii="Century" w:hAnsi="Century"/>
        </w:rPr>
        <w:t xml:space="preserve"> </w:t>
      </w:r>
      <w:r w:rsidR="004F5508">
        <w:rPr>
          <w:rFonts w:ascii="Century" w:hAnsi="Century"/>
          <w:b/>
        </w:rPr>
        <w:t>********************</w:t>
      </w:r>
      <w:r w:rsidRPr="00E1257C">
        <w:rPr>
          <w:rFonts w:ascii="Century" w:hAnsi="Century"/>
          <w:b/>
        </w:rPr>
        <w:t>;</w:t>
      </w:r>
      <w:r w:rsidRPr="00E1257C">
        <w:rPr>
          <w:rFonts w:ascii="Century" w:hAnsi="Century"/>
        </w:rPr>
        <w:t xml:space="preserve"> y</w:t>
      </w:r>
      <w:r w:rsidR="00217200">
        <w:rPr>
          <w:rFonts w:ascii="Century" w:hAnsi="Century"/>
        </w:rPr>
        <w:t>. ---------------</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594024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61759">
        <w:rPr>
          <w:rFonts w:ascii="Century" w:hAnsi="Century"/>
        </w:rPr>
        <w:t>0</w:t>
      </w:r>
      <w:r w:rsidR="009D459B">
        <w:rPr>
          <w:rFonts w:ascii="Century" w:hAnsi="Century"/>
        </w:rPr>
        <w:t>7</w:t>
      </w:r>
      <w:r w:rsidR="00D61759">
        <w:rPr>
          <w:rFonts w:ascii="Century" w:hAnsi="Century"/>
        </w:rPr>
        <w:t xml:space="preserve"> </w:t>
      </w:r>
      <w:r w:rsidR="009D459B">
        <w:rPr>
          <w:rFonts w:ascii="Century" w:hAnsi="Century"/>
        </w:rPr>
        <w:t xml:space="preserve">siete de diciembre </w:t>
      </w:r>
      <w:r w:rsidRPr="00E1257C">
        <w:rPr>
          <w:rFonts w:ascii="Century" w:hAnsi="Century"/>
        </w:rPr>
        <w:t xml:space="preserve">del año 2017 dos mil diecisiete, la parte actora presentó demanda de nulidad, señalando como acto impugnado el acta de infracción con número de folio </w:t>
      </w:r>
      <w:r w:rsidRPr="00E1257C">
        <w:rPr>
          <w:rFonts w:ascii="Century" w:hAnsi="Century"/>
          <w:b/>
        </w:rPr>
        <w:t>T5</w:t>
      </w:r>
      <w:r w:rsidR="009D459B">
        <w:rPr>
          <w:rFonts w:ascii="Century" w:hAnsi="Century"/>
          <w:b/>
        </w:rPr>
        <w:t>681</w:t>
      </w:r>
      <w:r w:rsidR="00D61759">
        <w:rPr>
          <w:rFonts w:ascii="Century" w:hAnsi="Century"/>
          <w:b/>
        </w:rPr>
        <w:t>0</w:t>
      </w:r>
      <w:r w:rsidR="009D459B">
        <w:rPr>
          <w:rFonts w:ascii="Century" w:hAnsi="Century"/>
          <w:b/>
        </w:rPr>
        <w:t>03</w:t>
      </w:r>
      <w:r w:rsidRPr="00E1257C">
        <w:rPr>
          <w:rFonts w:ascii="Century" w:hAnsi="Century"/>
          <w:b/>
        </w:rPr>
        <w:t xml:space="preserve"> (Letra T cinco s</w:t>
      </w:r>
      <w:r w:rsidR="00D61759">
        <w:rPr>
          <w:rFonts w:ascii="Century" w:hAnsi="Century"/>
          <w:b/>
        </w:rPr>
        <w:t xml:space="preserve">eis ocho uno cero </w:t>
      </w:r>
      <w:r w:rsidR="00A16A38">
        <w:rPr>
          <w:rFonts w:ascii="Century" w:hAnsi="Century"/>
          <w:b/>
        </w:rPr>
        <w:t>cero tres</w:t>
      </w:r>
      <w:r w:rsidRPr="00E1257C">
        <w:rPr>
          <w:rFonts w:ascii="Century" w:hAnsi="Century"/>
          <w:b/>
        </w:rPr>
        <w:t xml:space="preserve">) </w:t>
      </w:r>
      <w:r w:rsidR="00D61759">
        <w:rPr>
          <w:rFonts w:ascii="Century" w:hAnsi="Century"/>
        </w:rPr>
        <w:t xml:space="preserve">levanta en fecha </w:t>
      </w:r>
      <w:r w:rsidR="009D459B">
        <w:rPr>
          <w:rFonts w:ascii="Century" w:hAnsi="Century"/>
        </w:rPr>
        <w:t>14 catorce de noviembre</w:t>
      </w:r>
      <w:r w:rsidR="00D61759">
        <w:rPr>
          <w:rFonts w:ascii="Century" w:hAnsi="Century"/>
        </w:rPr>
        <w:t xml:space="preserve"> del año </w:t>
      </w:r>
      <w:r w:rsidRPr="00E1257C">
        <w:rPr>
          <w:rFonts w:ascii="Century" w:hAnsi="Century"/>
        </w:rPr>
        <w:t>del año 2017 dos mil diecisiete, y como autoridades demandadas señala a la agente de tránsito, que elaboró el acta de infracción. ---------------</w:t>
      </w:r>
      <w:r w:rsidR="00D61759">
        <w:rPr>
          <w:rFonts w:ascii="Century" w:hAnsi="Century"/>
        </w:rPr>
        <w:t>------------------------</w:t>
      </w:r>
      <w:r w:rsidRPr="00E1257C">
        <w:rPr>
          <w:rFonts w:ascii="Century" w:hAnsi="Century"/>
        </w:rPr>
        <w:t>--------------------</w:t>
      </w:r>
      <w:r w:rsidR="009D459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3F4C9EA5" w14:textId="33751612" w:rsidR="009D459B"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D459B">
        <w:rPr>
          <w:rFonts w:ascii="Century" w:hAnsi="Century"/>
        </w:rPr>
        <w:t>11 once de diciembre</w:t>
      </w:r>
      <w:r w:rsidR="00D61759">
        <w:rPr>
          <w:rFonts w:ascii="Century" w:hAnsi="Century"/>
        </w:rPr>
        <w:t xml:space="preserve"> del año </w:t>
      </w:r>
      <w:r w:rsidRPr="00E1257C">
        <w:rPr>
          <w:rFonts w:ascii="Century" w:hAnsi="Century"/>
        </w:rPr>
        <w:t>2017 dos mil diecisiete, se admite a trámite la demanda y se ordena correr traslado a la autoridad demandada, se le admite la prueba documental pública anexa a su escrito de demanda, misma que se tiene por desahogada desde ese momento debido a su propia naturaleza</w:t>
      </w:r>
      <w:r w:rsidR="009D459B">
        <w:rPr>
          <w:rFonts w:ascii="Century" w:hAnsi="Century"/>
        </w:rPr>
        <w:t>, así como la presuncional en su doble sentido. –</w:t>
      </w:r>
    </w:p>
    <w:p w14:paraId="2A736C6A" w14:textId="77777777" w:rsidR="009D459B" w:rsidRDefault="009D459B" w:rsidP="00E1257C">
      <w:pPr>
        <w:spacing w:line="360" w:lineRule="auto"/>
        <w:ind w:firstLine="709"/>
        <w:jc w:val="both"/>
        <w:rPr>
          <w:rFonts w:ascii="Century" w:hAnsi="Century"/>
        </w:rPr>
      </w:pPr>
    </w:p>
    <w:p w14:paraId="1C0E6EA4" w14:textId="77777777" w:rsidR="00E1257C" w:rsidRPr="00E1257C" w:rsidRDefault="00E1257C" w:rsidP="00E1257C">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330C7539" w14:textId="5EBA1BFF" w:rsidR="00D61759" w:rsidRPr="00D61759" w:rsidRDefault="00D61759" w:rsidP="00E1257C">
      <w:pPr>
        <w:spacing w:line="360" w:lineRule="auto"/>
        <w:ind w:firstLine="709"/>
        <w:jc w:val="both"/>
        <w:rPr>
          <w:rFonts w:ascii="Century" w:hAnsi="Century"/>
        </w:rPr>
      </w:pPr>
      <w:r w:rsidRPr="00D61759">
        <w:rPr>
          <w:rFonts w:ascii="Century" w:hAnsi="Century"/>
        </w:rPr>
        <w:lastRenderedPageBreak/>
        <w:t xml:space="preserve">De igual manera se concede también para el efecto de que las autoridades de tránsito no impongan multas por falta de la tablilla metálica del automotor, siendo que éste es el documento que se le retuvo en </w:t>
      </w:r>
      <w:r>
        <w:rPr>
          <w:rFonts w:ascii="Century" w:hAnsi="Century"/>
        </w:rPr>
        <w:t>garantía. -</w:t>
      </w:r>
    </w:p>
    <w:p w14:paraId="4D9F448B" w14:textId="77777777" w:rsidR="00D61759" w:rsidRDefault="00D61759" w:rsidP="00E1257C">
      <w:pPr>
        <w:spacing w:line="360" w:lineRule="auto"/>
        <w:ind w:firstLine="709"/>
        <w:jc w:val="both"/>
        <w:rPr>
          <w:rFonts w:ascii="Century" w:hAnsi="Century"/>
          <w:b/>
        </w:rPr>
      </w:pPr>
    </w:p>
    <w:p w14:paraId="42BC1C17" w14:textId="2412B535" w:rsidR="00E1257C" w:rsidRPr="00E1257C"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C20E21">
        <w:rPr>
          <w:rFonts w:ascii="Century" w:hAnsi="Century"/>
        </w:rPr>
        <w:t>1</w:t>
      </w:r>
      <w:r w:rsidR="00D61759">
        <w:rPr>
          <w:rFonts w:ascii="Century" w:hAnsi="Century"/>
        </w:rPr>
        <w:t xml:space="preserve">7 </w:t>
      </w:r>
      <w:r w:rsidR="00C20E21">
        <w:rPr>
          <w:rFonts w:ascii="Century" w:hAnsi="Century"/>
        </w:rPr>
        <w:t>diecisiete de enero del año 2018 dos mil dieciocho</w:t>
      </w:r>
      <w:r w:rsidR="00D61759">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C20E21">
        <w:rPr>
          <w:rFonts w:ascii="Century" w:hAnsi="Century"/>
        </w:rPr>
        <w:t>a</w:t>
      </w:r>
      <w:r w:rsidR="00D61759">
        <w:rPr>
          <w:rFonts w:ascii="Century" w:hAnsi="Century"/>
        </w:rPr>
        <w:t>l en su doble aspecto en todo lo que beneficie</w:t>
      </w:r>
      <w:r w:rsidR="00C20E21">
        <w:rPr>
          <w:rFonts w:ascii="Century" w:hAnsi="Century"/>
        </w:rPr>
        <w:t>;</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3E85346F"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C20E21">
        <w:rPr>
          <w:rFonts w:ascii="Century" w:hAnsi="Century"/>
        </w:rPr>
        <w:t>El día 16 dieciséis de marzo del año 2018 dos mil dieciocho</w:t>
      </w:r>
      <w:r w:rsidR="00F07B0D">
        <w:rPr>
          <w:rFonts w:ascii="Century" w:hAnsi="Century"/>
        </w:rPr>
        <w:t xml:space="preserve">, </w:t>
      </w:r>
      <w:r w:rsidRPr="00E1257C">
        <w:rPr>
          <w:rFonts w:ascii="Century" w:hAnsi="Century"/>
        </w:rPr>
        <w:t>a las 1</w:t>
      </w:r>
      <w:r w:rsidR="00F07B0D">
        <w:rPr>
          <w:rFonts w:ascii="Century" w:hAnsi="Century"/>
        </w:rPr>
        <w:t>0</w:t>
      </w:r>
      <w:r w:rsidRPr="00E1257C">
        <w:rPr>
          <w:rFonts w:ascii="Century" w:hAnsi="Century"/>
        </w:rPr>
        <w:t xml:space="preserve">:00 </w:t>
      </w:r>
      <w:r w:rsidR="00F07B0D">
        <w:rPr>
          <w:rFonts w:ascii="Century" w:hAnsi="Century"/>
        </w:rPr>
        <w:t>diez</w:t>
      </w:r>
      <w:r w:rsidRPr="00E1257C">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C20E21">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1DDDE0FC"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E1257C">
        <w:rPr>
          <w:rFonts w:ascii="Century" w:hAnsi="Century"/>
          <w:lang w:val="es-MX"/>
        </w:rPr>
        <w:lastRenderedPageBreak/>
        <w:t>Guanajuato, toda vez que la demanda fue presentada dentro de los 30 treinta días hábiles siguientes a aquél en que el demandante se ostenta sabedor del acta de infracció</w:t>
      </w:r>
      <w:r w:rsidR="00C20E21">
        <w:rPr>
          <w:rFonts w:ascii="Century" w:hAnsi="Century"/>
          <w:lang w:val="es-MX"/>
        </w:rPr>
        <w:t xml:space="preserve">n impugnada, lo que fue el día 14 catorce de noviembre del </w:t>
      </w:r>
      <w:r w:rsidRPr="00E1257C">
        <w:rPr>
          <w:rFonts w:ascii="Century" w:hAnsi="Century"/>
          <w:lang w:val="es-MX"/>
        </w:rPr>
        <w:t xml:space="preserve"> año 2017 dos mil diecisiete y la demanda fue presentada el </w:t>
      </w:r>
      <w:r w:rsidR="00674A67">
        <w:rPr>
          <w:rFonts w:ascii="Century" w:hAnsi="Century"/>
          <w:lang w:val="es-MX"/>
        </w:rPr>
        <w:t>0</w:t>
      </w:r>
      <w:r w:rsidR="00C20E21">
        <w:rPr>
          <w:rFonts w:ascii="Century" w:hAnsi="Century"/>
          <w:lang w:val="es-MX"/>
        </w:rPr>
        <w:t>7 siete de diciembre</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r w:rsidR="00C20E2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D3B296E"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La existencia del acto impugnado, se encuentra documentada en autos con el original del acta de infracción con folio número T 5</w:t>
      </w:r>
      <w:r w:rsidR="001A4EE8">
        <w:rPr>
          <w:rFonts w:ascii="Century" w:hAnsi="Century"/>
        </w:rPr>
        <w:t>681</w:t>
      </w:r>
      <w:r w:rsidR="00C41064">
        <w:rPr>
          <w:rFonts w:ascii="Century" w:hAnsi="Century"/>
        </w:rPr>
        <w:t>003</w:t>
      </w:r>
      <w:r w:rsidRPr="00E1257C">
        <w:rPr>
          <w:rFonts w:ascii="Century" w:hAnsi="Century"/>
        </w:rPr>
        <w:t xml:space="preserve"> (Letra T cinco s</w:t>
      </w:r>
      <w:r w:rsidR="001A4EE8">
        <w:rPr>
          <w:rFonts w:ascii="Century" w:hAnsi="Century"/>
        </w:rPr>
        <w:t xml:space="preserve">eis ocho uno cero </w:t>
      </w:r>
      <w:r w:rsidR="00C41064">
        <w:rPr>
          <w:rFonts w:ascii="Century" w:hAnsi="Century"/>
        </w:rPr>
        <w:t>cero tres</w:t>
      </w:r>
      <w:r w:rsidRPr="00E1257C">
        <w:rPr>
          <w:rFonts w:ascii="Century" w:hAnsi="Century"/>
        </w:rPr>
        <w:t xml:space="preserve">), de fecha </w:t>
      </w:r>
      <w:r w:rsidR="00C41064">
        <w:rPr>
          <w:rFonts w:ascii="Century" w:hAnsi="Century"/>
        </w:rPr>
        <w:t>14 catorce de noviembre</w:t>
      </w:r>
      <w:r w:rsidR="001A4EE8">
        <w:rPr>
          <w:rFonts w:ascii="Century" w:hAnsi="Century"/>
        </w:rPr>
        <w:t xml:space="preserve"> </w:t>
      </w:r>
      <w:r w:rsidRPr="00E1257C">
        <w:rPr>
          <w:rFonts w:ascii="Century" w:hAnsi="Century"/>
        </w:rPr>
        <w:t>del año 2017 dos mil diecisiete; 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34D8CC2" w14:textId="4AE35EBC" w:rsidR="00404730" w:rsidRDefault="00E1257C" w:rsidP="00E1257C">
      <w:pPr>
        <w:spacing w:line="360" w:lineRule="auto"/>
        <w:ind w:firstLine="709"/>
        <w:jc w:val="both"/>
        <w:rPr>
          <w:rFonts w:ascii="Century" w:hAnsi="Century"/>
        </w:rPr>
      </w:pPr>
      <w:r w:rsidRPr="00E1257C">
        <w:rPr>
          <w:rFonts w:ascii="Century" w:hAnsi="Century"/>
        </w:rPr>
        <w:t xml:space="preserve">En ese sentido, </w:t>
      </w:r>
      <w:r w:rsidR="0028067E">
        <w:rPr>
          <w:rFonts w:ascii="Century" w:hAnsi="Century"/>
        </w:rPr>
        <w:t xml:space="preserve">se aprecia que </w:t>
      </w:r>
      <w:r w:rsidRPr="00E1257C">
        <w:rPr>
          <w:rFonts w:ascii="Century" w:hAnsi="Century"/>
        </w:rPr>
        <w:t xml:space="preserve">la autoridad demandada </w:t>
      </w:r>
      <w:r w:rsidR="00EF0A3D">
        <w:rPr>
          <w:rFonts w:ascii="Century" w:hAnsi="Century"/>
        </w:rPr>
        <w:t>argumenta</w:t>
      </w:r>
      <w:r w:rsidR="0028067E">
        <w:rPr>
          <w:rFonts w:ascii="Century" w:hAnsi="Century"/>
        </w:rPr>
        <w:t xml:space="preserve"> que se actualiza la causal de improcedencia establecida en el artículo 261 fracción </w:t>
      </w:r>
      <w:r w:rsidR="0028067E">
        <w:rPr>
          <w:rFonts w:ascii="Century" w:hAnsi="Century"/>
        </w:rPr>
        <w:lastRenderedPageBreak/>
        <w:t xml:space="preserve">I y VI, en relación con el artículo 262 del Código de Procedimiento y Justicia Administrativa para el Estado y los Municipios de Guanajuato, ya que manifiesta que de las pruebas ofrecidas y de los documentos que aporta el actor no se desprende que se haya emitido algún acto </w:t>
      </w:r>
      <w:r w:rsidR="00404730">
        <w:rPr>
          <w:rFonts w:ascii="Century" w:hAnsi="Century"/>
        </w:rPr>
        <w:t>administrativo</w:t>
      </w:r>
      <w:r w:rsidR="0028067E">
        <w:rPr>
          <w:rFonts w:ascii="Century" w:hAnsi="Century"/>
        </w:rPr>
        <w:t xml:space="preserve"> que afecte su esfera jurídica</w:t>
      </w:r>
      <w:r w:rsidR="00404730">
        <w:rPr>
          <w:rFonts w:ascii="Century" w:hAnsi="Century"/>
        </w:rPr>
        <w:t>. --------------------------------------------------------------------------------------</w:t>
      </w:r>
    </w:p>
    <w:p w14:paraId="2C2245E0" w14:textId="77777777" w:rsidR="00404730" w:rsidRDefault="00404730" w:rsidP="00E1257C">
      <w:pPr>
        <w:spacing w:line="360" w:lineRule="auto"/>
        <w:ind w:firstLine="709"/>
        <w:jc w:val="both"/>
        <w:rPr>
          <w:rFonts w:ascii="Century" w:hAnsi="Century"/>
        </w:rPr>
      </w:pPr>
    </w:p>
    <w:p w14:paraId="40C20C3A" w14:textId="6904CA7A" w:rsidR="00A81740" w:rsidRDefault="00A81740" w:rsidP="00A81740">
      <w:pPr>
        <w:pStyle w:val="RESOLUCIONES"/>
      </w:pPr>
      <w:r>
        <w:t xml:space="preserve">Causal de improcedencia que a juicio de quien resuelve NO SE ACTUALIZA, ya que lo señalado por la demandada, implican manifestaciones </w:t>
      </w:r>
      <w:r w:rsidRPr="00E57ED5">
        <w:t xml:space="preserve">tendientes a demostrar la validez del acto impugnado, </w:t>
      </w:r>
      <w:r>
        <w:t xml:space="preserve">al señalar que se encuentra fundamentado y motivado, </w:t>
      </w:r>
      <w:r w:rsidRPr="00E57ED5">
        <w:t>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w:t>
      </w:r>
      <w:r>
        <w:t xml:space="preserve"> -----------------------------------------------------------------------------------------</w:t>
      </w:r>
    </w:p>
    <w:p w14:paraId="77D89D68" w14:textId="6AFE8780" w:rsidR="00A81740" w:rsidRDefault="00A81740" w:rsidP="00A81740">
      <w:pPr>
        <w:pStyle w:val="RESOLUCIONES"/>
      </w:pPr>
    </w:p>
    <w:p w14:paraId="6E7FDBC6" w14:textId="0D17332C" w:rsidR="00E1257C" w:rsidRPr="00E1257C" w:rsidRDefault="003B21AB" w:rsidP="00E1257C">
      <w:pPr>
        <w:spacing w:line="360" w:lineRule="auto"/>
        <w:ind w:firstLine="709"/>
        <w:jc w:val="both"/>
        <w:rPr>
          <w:rFonts w:ascii="Century" w:hAnsi="Century"/>
        </w:rPr>
      </w:pPr>
      <w:r>
        <w:rPr>
          <w:rFonts w:ascii="Century" w:hAnsi="Century"/>
        </w:rPr>
        <w:t>Bajo tal contexto, y al no actualizarse la causal de improcedencia invocada por la demandad</w:t>
      </w:r>
      <w:r w:rsidR="00EF0A3D">
        <w:rPr>
          <w:rFonts w:ascii="Century" w:hAnsi="Century"/>
        </w:rPr>
        <w:t>a</w:t>
      </w:r>
      <w:r>
        <w:rPr>
          <w:rFonts w:ascii="Century" w:hAnsi="Century"/>
        </w:rPr>
        <w:t xml:space="preserve"> </w:t>
      </w:r>
      <w:r w:rsidR="00E1257C" w:rsidRPr="00E1257C">
        <w:rPr>
          <w:rFonts w:ascii="Century" w:hAnsi="Century"/>
        </w:rPr>
        <w:t>y de oficio, quien resuelve, aprecia que no se actualiza ninguna de las previstas en el citado artículo 261, por lo que es procedente el estudio de los conceptos de impugnación esgrimidos en la demanda. ----</w:t>
      </w:r>
      <w:r>
        <w:rPr>
          <w:rFonts w:ascii="Century" w:hAnsi="Century"/>
        </w:rPr>
        <w:t>--------------------------------------------------------------------------------</w:t>
      </w:r>
      <w:r w:rsidR="00E1257C" w:rsidRPr="00E1257C">
        <w:rPr>
          <w:rFonts w:ascii="Century" w:hAnsi="Century"/>
        </w:rP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0DD35DC9" w:rsidR="00681A81"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F8672B">
        <w:rPr>
          <w:rFonts w:ascii="Century" w:hAnsi="Century"/>
        </w:rPr>
        <w:t xml:space="preserve">en fecha 14 catorce de noviembre del año 2017 dos mil diecisiete, el agente de tránsito demando, levantó el acta de infracción T5681003 (Letra T cinco seis ocho uno cero cero tres), </w:t>
      </w:r>
      <w:r w:rsidRPr="00E1257C">
        <w:rPr>
          <w:rFonts w:ascii="Century" w:hAnsi="Century"/>
        </w:rPr>
        <w:t>asentando como motivos</w:t>
      </w:r>
      <w:r w:rsidRPr="00E1257C">
        <w:rPr>
          <w:rFonts w:ascii="Century" w:hAnsi="Century"/>
          <w:iCs/>
        </w:rPr>
        <w:t xml:space="preserve"> de la </w:t>
      </w:r>
      <w:r w:rsidRPr="00E1257C">
        <w:rPr>
          <w:rFonts w:ascii="Century" w:hAnsi="Century"/>
        </w:rPr>
        <w:t xml:space="preserve">misma: </w:t>
      </w:r>
      <w:r w:rsidRPr="00E1257C">
        <w:rPr>
          <w:rFonts w:ascii="Century" w:hAnsi="Century"/>
          <w:i/>
        </w:rPr>
        <w:t xml:space="preserve">“Por </w:t>
      </w:r>
      <w:r w:rsidR="001A4EE8">
        <w:rPr>
          <w:rFonts w:ascii="Century" w:hAnsi="Century"/>
          <w:i/>
        </w:rPr>
        <w:t xml:space="preserve">falta de holograma de verificación </w:t>
      </w:r>
      <w:r w:rsidR="00F8672B">
        <w:rPr>
          <w:rFonts w:ascii="Century" w:hAnsi="Century"/>
          <w:i/>
        </w:rPr>
        <w:t>primer semestre del presenta año</w:t>
      </w:r>
      <w:r w:rsidR="001A4EE8">
        <w:rPr>
          <w:rFonts w:ascii="Century" w:hAnsi="Century"/>
          <w:i/>
        </w:rPr>
        <w:t>”</w:t>
      </w:r>
      <w:r w:rsidRPr="00E1257C">
        <w:rPr>
          <w:rFonts w:ascii="Century" w:hAnsi="Century"/>
          <w:i/>
        </w:rPr>
        <w:t xml:space="preserve">, </w:t>
      </w:r>
      <w:r w:rsidRPr="00E1257C">
        <w:rPr>
          <w:rFonts w:ascii="Century" w:hAnsi="Century"/>
        </w:rPr>
        <w:t xml:space="preserve">estableció como </w:t>
      </w:r>
      <w:r w:rsidRPr="00E1257C">
        <w:rPr>
          <w:rFonts w:ascii="Century" w:hAnsi="Century"/>
        </w:rPr>
        <w:lastRenderedPageBreak/>
        <w:t xml:space="preserve">artículo infringido, el </w:t>
      </w:r>
      <w:r w:rsidR="001A4EE8">
        <w:rPr>
          <w:rFonts w:ascii="Century" w:hAnsi="Century"/>
        </w:rPr>
        <w:t>21</w:t>
      </w:r>
      <w:r w:rsidRPr="00E1257C">
        <w:rPr>
          <w:rFonts w:ascii="Century" w:hAnsi="Century"/>
        </w:rPr>
        <w:t xml:space="preserve"> fracción</w:t>
      </w:r>
      <w:r w:rsidR="00F8672B">
        <w:rPr>
          <w:rFonts w:ascii="Century" w:hAnsi="Century"/>
        </w:rPr>
        <w:t xml:space="preserve"> III</w:t>
      </w:r>
      <w:r w:rsidR="001A4EE8">
        <w:rPr>
          <w:rFonts w:ascii="Century" w:hAnsi="Century"/>
        </w:rPr>
        <w:t xml:space="preserve"> </w:t>
      </w:r>
      <w:r w:rsidR="00681A81">
        <w:rPr>
          <w:rFonts w:ascii="Century" w:hAnsi="Century"/>
        </w:rPr>
        <w:t xml:space="preserve">y </w:t>
      </w:r>
      <w:r w:rsidR="00681A81" w:rsidRPr="002E4C45">
        <w:rPr>
          <w:rFonts w:ascii="Century" w:hAnsi="Century"/>
          <w:i/>
        </w:rPr>
        <w:t xml:space="preserve">“Por </w:t>
      </w:r>
      <w:r w:rsidR="00F8672B">
        <w:rPr>
          <w:rFonts w:ascii="Century" w:hAnsi="Century"/>
          <w:i/>
        </w:rPr>
        <w:t>no hacer uso del cinturón de seguridad</w:t>
      </w:r>
      <w:r w:rsidR="00681A81" w:rsidRPr="002E4C45">
        <w:rPr>
          <w:rFonts w:ascii="Century" w:hAnsi="Century"/>
          <w:i/>
        </w:rPr>
        <w:t>”</w:t>
      </w:r>
      <w:r w:rsidR="00681A81">
        <w:rPr>
          <w:rFonts w:ascii="Century" w:hAnsi="Century"/>
        </w:rPr>
        <w:t xml:space="preserve"> artículo 7 fracción </w:t>
      </w:r>
      <w:r w:rsidR="00F8672B">
        <w:rPr>
          <w:rFonts w:ascii="Century" w:hAnsi="Century"/>
        </w:rPr>
        <w:t>VI</w:t>
      </w:r>
      <w:r w:rsidR="00681A81">
        <w:rPr>
          <w:rFonts w:ascii="Century" w:hAnsi="Century"/>
        </w:rPr>
        <w:t xml:space="preserve">I, ambos </w:t>
      </w:r>
      <w:r w:rsidR="001A4EE8">
        <w:rPr>
          <w:rFonts w:ascii="Century" w:hAnsi="Century"/>
        </w:rPr>
        <w:t>d</w:t>
      </w:r>
      <w:r w:rsidRPr="00E1257C">
        <w:rPr>
          <w:rFonts w:ascii="Century" w:hAnsi="Century"/>
        </w:rPr>
        <w:t>el Reglamento de Tránsito Municipal de León, Guanajuato</w:t>
      </w:r>
      <w:r w:rsidR="00681A81">
        <w:rPr>
          <w:rFonts w:ascii="Century" w:hAnsi="Century"/>
        </w:rPr>
        <w:t>. -----</w:t>
      </w:r>
      <w:r w:rsidR="00F8672B">
        <w:rPr>
          <w:rFonts w:ascii="Century" w:hAnsi="Century"/>
        </w:rPr>
        <w:t>---------------------------------</w:t>
      </w:r>
      <w:r w:rsidR="00681A81">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0354915B"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681A81" w:rsidRPr="00E1257C">
        <w:t>T 5</w:t>
      </w:r>
      <w:r w:rsidR="00681A81">
        <w:t>6810</w:t>
      </w:r>
      <w:r w:rsidR="00F8672B">
        <w:t>03</w:t>
      </w:r>
      <w:r w:rsidR="00681A81" w:rsidRPr="00E1257C">
        <w:t xml:space="preserve"> (Letra T cinco s</w:t>
      </w:r>
      <w:r w:rsidR="00681A81">
        <w:t xml:space="preserve">eis ocho uno cero </w:t>
      </w:r>
      <w:r w:rsidR="00F8672B">
        <w:t>cero tres</w:t>
      </w:r>
      <w:r w:rsidR="00681A81" w:rsidRPr="00E1257C">
        <w:t xml:space="preserve">), de fecha </w:t>
      </w:r>
      <w:r w:rsidR="00F8672B">
        <w:t>14 catorce de noviembre</w:t>
      </w:r>
      <w:r w:rsidR="00681A81">
        <w:t xml:space="preserve"> </w:t>
      </w:r>
      <w:r w:rsidR="00681A81" w:rsidRPr="00E1257C">
        <w:t>del año 2017 dos mil diecisiete</w:t>
      </w:r>
      <w:r w:rsidR="00681A81">
        <w:t>. -----------------------</w:t>
      </w:r>
      <w:r w:rsidRPr="00E1257C">
        <w:t>---------------------------</w:t>
      </w:r>
      <w:r w:rsidR="00F8672B">
        <w:t>------------------------</w:t>
      </w:r>
    </w:p>
    <w:p w14:paraId="680C4090" w14:textId="77777777" w:rsidR="00E1257C" w:rsidRPr="00E1257C" w:rsidRDefault="00E1257C" w:rsidP="00E1257C">
      <w:pPr>
        <w:spacing w:line="360" w:lineRule="auto"/>
        <w:ind w:firstLine="709"/>
        <w:jc w:val="both"/>
        <w:rPr>
          <w:rFonts w:ascii="Century" w:hAnsi="Century"/>
          <w:b/>
        </w:rPr>
      </w:pPr>
    </w:p>
    <w:p w14:paraId="5E16DB12" w14:textId="77777777" w:rsidR="00EF0A3D"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w:t>
      </w:r>
    </w:p>
    <w:p w14:paraId="6893CB97" w14:textId="77777777" w:rsidR="00EF0A3D" w:rsidRDefault="00EF0A3D" w:rsidP="00E1257C">
      <w:pPr>
        <w:spacing w:line="360" w:lineRule="auto"/>
        <w:ind w:firstLine="709"/>
        <w:jc w:val="both"/>
        <w:rPr>
          <w:rFonts w:ascii="Century" w:hAnsi="Century"/>
        </w:rPr>
      </w:pPr>
    </w:p>
    <w:p w14:paraId="3915C348" w14:textId="2FF5589D" w:rsidR="00E1257C" w:rsidRPr="00E1257C" w:rsidRDefault="00E1257C" w:rsidP="00E1257C">
      <w:pPr>
        <w:spacing w:line="360" w:lineRule="auto"/>
        <w:ind w:firstLine="709"/>
        <w:jc w:val="both"/>
        <w:rPr>
          <w:rFonts w:ascii="Century" w:hAnsi="Century"/>
        </w:rPr>
      </w:pPr>
      <w:r w:rsidRPr="00E1257C">
        <w:rPr>
          <w:rFonts w:ascii="Century" w:hAnsi="Century"/>
        </w:rPr>
        <w:t>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287A86BA" w14:textId="1A56D250" w:rsidR="00E1257C" w:rsidRPr="00E1257C" w:rsidRDefault="00E1257C" w:rsidP="00E1257C">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8D515E">
        <w:rPr>
          <w:rFonts w:ascii="Century" w:hAnsi="Century"/>
        </w:rPr>
        <w:t>los agravios se</w:t>
      </w:r>
      <w:r w:rsidRPr="00E1257C">
        <w:rPr>
          <w:rFonts w:ascii="Century" w:hAnsi="Century"/>
        </w:rPr>
        <w:t>ñalado</w:t>
      </w:r>
      <w:r w:rsidR="008D515E">
        <w:rPr>
          <w:rFonts w:ascii="Century" w:hAnsi="Century"/>
        </w:rPr>
        <w:t>s</w:t>
      </w:r>
      <w:r w:rsidRPr="00E1257C">
        <w:rPr>
          <w:rFonts w:ascii="Century" w:hAnsi="Century"/>
        </w:rPr>
        <w:t xml:space="preserve"> como PRIMERO resulta </w:t>
      </w:r>
      <w:r w:rsidR="006340EE" w:rsidRPr="00E1257C">
        <w:rPr>
          <w:rFonts w:ascii="Century" w:hAnsi="Century"/>
        </w:rPr>
        <w:t xml:space="preserve">fundado y suficiente </w:t>
      </w:r>
      <w:r w:rsidRPr="00E1257C">
        <w:rPr>
          <w:rFonts w:ascii="Century" w:hAnsi="Century"/>
        </w:rPr>
        <w:t xml:space="preserve">para decretar la NULIDAD TOTAL del acta impugnada con base en las siguientes consideraciones: </w:t>
      </w:r>
      <w:r w:rsidR="008D515E">
        <w:rPr>
          <w:rFonts w:ascii="Century" w:hAnsi="Century"/>
        </w:rPr>
        <w:t>------------</w:t>
      </w:r>
      <w:r w:rsidR="00F8672B">
        <w:rPr>
          <w:rFonts w:ascii="Century" w:hAnsi="Century"/>
        </w:rPr>
        <w:t>---------------</w:t>
      </w:r>
      <w:r w:rsidR="008D515E">
        <w:rPr>
          <w:rFonts w:ascii="Century" w:hAnsi="Century"/>
        </w:rPr>
        <w:t>-------------------</w:t>
      </w:r>
    </w:p>
    <w:p w14:paraId="7F8F659C" w14:textId="77777777" w:rsidR="00E1257C" w:rsidRPr="00E1257C" w:rsidRDefault="00E1257C" w:rsidP="00E1257C">
      <w:pPr>
        <w:spacing w:line="360" w:lineRule="auto"/>
        <w:ind w:firstLine="709"/>
        <w:jc w:val="both"/>
        <w:rPr>
          <w:rFonts w:ascii="Century" w:hAnsi="Century"/>
        </w:rPr>
      </w:pPr>
    </w:p>
    <w:p w14:paraId="19AC530D" w14:textId="77777777" w:rsidR="002A1F9E" w:rsidRDefault="002A1F9E" w:rsidP="00E1257C">
      <w:pPr>
        <w:spacing w:line="360" w:lineRule="auto"/>
        <w:ind w:firstLine="709"/>
        <w:jc w:val="both"/>
        <w:rPr>
          <w:rFonts w:ascii="Century" w:hAnsi="Century"/>
        </w:rPr>
      </w:pPr>
      <w:r>
        <w:rPr>
          <w:rFonts w:ascii="Century" w:hAnsi="Century"/>
        </w:rPr>
        <w:t>La parte actora señala los siguiente:</w:t>
      </w:r>
    </w:p>
    <w:p w14:paraId="207B09A7" w14:textId="65BB5A3C" w:rsidR="00F8672B" w:rsidRDefault="002A1F9E" w:rsidP="00E1257C">
      <w:pPr>
        <w:spacing w:line="360" w:lineRule="auto"/>
        <w:ind w:firstLine="709"/>
        <w:jc w:val="both"/>
        <w:rPr>
          <w:rFonts w:ascii="Century" w:hAnsi="Century"/>
          <w:i/>
          <w:sz w:val="20"/>
        </w:rPr>
      </w:pPr>
      <w:r w:rsidRPr="002A1F9E">
        <w:rPr>
          <w:rFonts w:ascii="Century" w:hAnsi="Century"/>
          <w:i/>
          <w:sz w:val="20"/>
        </w:rPr>
        <w:t>[…]</w:t>
      </w:r>
      <w:r w:rsidR="003457CB">
        <w:rPr>
          <w:rFonts w:ascii="Century" w:hAnsi="Century"/>
          <w:i/>
          <w:sz w:val="20"/>
        </w:rPr>
        <w:t xml:space="preserve"> </w:t>
      </w:r>
      <w:r w:rsidR="00F8672B">
        <w:rPr>
          <w:rFonts w:ascii="Century" w:hAnsi="Century"/>
          <w:i/>
          <w:sz w:val="20"/>
        </w:rPr>
        <w:t>Con relación a los MOTIVOS DE LA INFRACCIÓN, el agente de tránsito demandado establece en el Acta de Infracción impugnada lo siguiente: “Por falta de verificación primer semestre del presente año”</w:t>
      </w:r>
      <w:r w:rsidR="005C4DF0">
        <w:rPr>
          <w:rFonts w:ascii="Century" w:hAnsi="Century"/>
          <w:i/>
          <w:sz w:val="20"/>
        </w:rPr>
        <w:t xml:space="preserve">. Asimismo, […] , siendo claro que la aseveración </w:t>
      </w:r>
      <w:r w:rsidR="005C4DF0">
        <w:rPr>
          <w:rFonts w:ascii="Century" w:hAnsi="Century"/>
          <w:i/>
          <w:sz w:val="20"/>
        </w:rPr>
        <w:lastRenderedPageBreak/>
        <w:t>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272D037D" w14:textId="43381839" w:rsidR="005C4DF0" w:rsidRDefault="005C4DF0" w:rsidP="00E1257C">
      <w:pPr>
        <w:spacing w:line="360" w:lineRule="auto"/>
        <w:ind w:firstLine="709"/>
        <w:jc w:val="both"/>
        <w:rPr>
          <w:rFonts w:ascii="Century" w:hAnsi="Century"/>
          <w:i/>
          <w:sz w:val="20"/>
        </w:rPr>
      </w:pPr>
      <w:r>
        <w:rPr>
          <w:rFonts w:ascii="Century" w:hAnsi="Century"/>
          <w:i/>
          <w:sz w:val="20"/>
        </w:rPr>
        <w:t xml:space="preserve">Lo anterior, hace que el acta de infracción impugnada carezca de la debida motivación, ya que la autoridad no hace una explicación precisa y concreta de la manera en que se percató de la supuesta falta administrativa </w:t>
      </w:r>
      <w:r w:rsidRPr="005C4DF0">
        <w:rPr>
          <w:rFonts w:ascii="Century" w:hAnsi="Century"/>
          <w:i/>
          <w:sz w:val="20"/>
        </w:rPr>
        <w:t>[…]</w:t>
      </w:r>
      <w:r>
        <w:rPr>
          <w:rFonts w:ascii="Century" w:hAnsi="Century"/>
          <w:i/>
          <w:sz w:val="20"/>
        </w:rPr>
        <w:t>”</w:t>
      </w:r>
    </w:p>
    <w:p w14:paraId="5A0622B0" w14:textId="6A23DB9D" w:rsidR="005C4DF0" w:rsidRDefault="005C4DF0" w:rsidP="00E1257C">
      <w:pPr>
        <w:spacing w:line="360" w:lineRule="auto"/>
        <w:ind w:firstLine="709"/>
        <w:jc w:val="both"/>
        <w:rPr>
          <w:rFonts w:ascii="Century" w:hAnsi="Century"/>
          <w:i/>
          <w:sz w:val="20"/>
        </w:rPr>
      </w:pPr>
    </w:p>
    <w:p w14:paraId="62C9A97B" w14:textId="42936441" w:rsidR="005C4DF0" w:rsidRDefault="005C4DF0" w:rsidP="00E1257C">
      <w:pPr>
        <w:spacing w:line="360" w:lineRule="auto"/>
        <w:ind w:firstLine="709"/>
        <w:jc w:val="both"/>
        <w:rPr>
          <w:rFonts w:ascii="Century" w:hAnsi="Century"/>
          <w:i/>
          <w:sz w:val="20"/>
        </w:rPr>
      </w:pPr>
      <w:r>
        <w:rPr>
          <w:rFonts w:ascii="Century" w:hAnsi="Century"/>
          <w:i/>
          <w:sz w:val="20"/>
        </w:rPr>
        <w:t xml:space="preserve">Con relación a los MOTIVOS DE LA INFRACCIÓN, el ahora demandado establece en el acta de infracción impugnada lo siguiente: “por no hacer uso del cinturón de seguridad” </w:t>
      </w:r>
      <w:r w:rsidRPr="005C4DF0">
        <w:rPr>
          <w:rFonts w:ascii="Century" w:hAnsi="Century"/>
          <w:i/>
          <w:sz w:val="20"/>
        </w:rPr>
        <w:t>[…]</w:t>
      </w:r>
      <w:r>
        <w:rPr>
          <w:rFonts w:ascii="Century" w:hAnsi="Century"/>
          <w:i/>
          <w:sz w:val="20"/>
        </w:rPr>
        <w:t xml:space="preserve"> siendo claro que la aseveración anterior es bastante escueta e insuficiente, pareciendo a todas luces de coherencia, congruencia y legalidad, pues la demandada no es precisa ni exacta en la cita de las normas legales </w:t>
      </w:r>
      <w:r w:rsidRPr="005C4DF0">
        <w:rPr>
          <w:rFonts w:ascii="Century" w:hAnsi="Century"/>
          <w:i/>
          <w:sz w:val="20"/>
        </w:rPr>
        <w:t>[…]</w:t>
      </w:r>
      <w:r>
        <w:rPr>
          <w:rFonts w:ascii="Century" w:hAnsi="Century"/>
          <w:i/>
          <w:sz w:val="20"/>
        </w:rPr>
        <w:t>.</w:t>
      </w:r>
    </w:p>
    <w:p w14:paraId="63C2052C" w14:textId="6F3C9011" w:rsidR="005C4DF0" w:rsidRDefault="005C4DF0" w:rsidP="00E1257C">
      <w:pPr>
        <w:spacing w:line="360" w:lineRule="auto"/>
        <w:ind w:firstLine="709"/>
        <w:jc w:val="both"/>
        <w:rPr>
          <w:rFonts w:ascii="Century" w:hAnsi="Century"/>
          <w:i/>
          <w:sz w:val="20"/>
        </w:rPr>
      </w:pPr>
    </w:p>
    <w:p w14:paraId="5715FD83" w14:textId="0996EB18" w:rsidR="00120057" w:rsidRDefault="002001C8" w:rsidP="00E1257C">
      <w:pPr>
        <w:spacing w:line="360" w:lineRule="auto"/>
        <w:ind w:firstLine="709"/>
        <w:jc w:val="both"/>
        <w:rPr>
          <w:rFonts w:ascii="Century" w:hAnsi="Century"/>
        </w:rPr>
      </w:pPr>
      <w:r>
        <w:rPr>
          <w:rFonts w:ascii="Century" w:hAnsi="Century"/>
        </w:rPr>
        <w:t xml:space="preserve">Por su parte la autoridad </w:t>
      </w:r>
      <w:r w:rsidR="00EF0A3D">
        <w:rPr>
          <w:rFonts w:ascii="Century" w:hAnsi="Century"/>
        </w:rPr>
        <w:t>demanda argumenta</w:t>
      </w:r>
      <w:r>
        <w:rPr>
          <w:rFonts w:ascii="Century" w:hAnsi="Century"/>
        </w:rPr>
        <w:t xml:space="preserve"> que </w:t>
      </w:r>
      <w:r w:rsidR="00120057">
        <w:rPr>
          <w:rFonts w:ascii="Century" w:hAnsi="Century"/>
        </w:rPr>
        <w:t>dichos agravios deben ser declarados infundados, inoperantes e insuficientes, ya que el acta de infracción, sí contiene los fundamentos legales, y se respetaron los requisitos de validez y su motivación. ---------------------------------------------------------------------</w:t>
      </w:r>
    </w:p>
    <w:p w14:paraId="7D71DDFA" w14:textId="77777777" w:rsidR="00120057" w:rsidRDefault="00120057"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w:t>
      </w:r>
      <w:r w:rsidRPr="00E1257C">
        <w:rPr>
          <w:rFonts w:ascii="Century" w:hAnsi="Century"/>
          <w:bCs/>
        </w:rPr>
        <w:lastRenderedPageBreak/>
        <w:t>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18D8B720" w14:textId="34F62789" w:rsidR="00120057" w:rsidRDefault="00E1257C" w:rsidP="00FE76EB">
      <w:pPr>
        <w:pStyle w:val="RESOLUCIONES"/>
        <w:rPr>
          <w:bCs/>
        </w:rPr>
      </w:pPr>
      <w:r w:rsidRPr="00E1257C">
        <w:rPr>
          <w:bCs/>
        </w:rPr>
        <w:t xml:space="preserve">Bajo ese contexto, existe una indebida fundamentación del acto impugnado, ya que </w:t>
      </w:r>
      <w:r w:rsidR="002001C8">
        <w:rPr>
          <w:bCs/>
        </w:rPr>
        <w:t xml:space="preserve">la autoridad demandada </w:t>
      </w:r>
      <w:r w:rsidR="00120057">
        <w:rPr>
          <w:bCs/>
        </w:rPr>
        <w:t xml:space="preserve">se limita a señalar como motivo de la infracción </w:t>
      </w:r>
      <w:r w:rsidR="00120057" w:rsidRPr="005D2090">
        <w:rPr>
          <w:bCs/>
          <w:i/>
        </w:rPr>
        <w:t xml:space="preserve">“por falta de holograma de verificación primer semestre del presente año”; </w:t>
      </w:r>
      <w:r w:rsidR="00120057">
        <w:rPr>
          <w:bCs/>
        </w:rPr>
        <w:t xml:space="preserve">sin embargo, omite establecer cómo se percata de que el vehículo no contaba con dicho holograma, </w:t>
      </w:r>
      <w:r w:rsidR="001D155E">
        <w:rPr>
          <w:bCs/>
        </w:rPr>
        <w:t>si es que realizó una revisión física al vehículo, o bien, debió señalar que solicitó en su caso, al conductor del vehículo infraccionado la documentación que acreditara la verificación vehicular, ya que así lo dispone el artículo 21 fracción III del Reglamento de Tránsito Municipal de León, Guanajuato, que señaló como fundamento, el cual establece:</w:t>
      </w:r>
      <w:r w:rsidR="00EF0A3D">
        <w:rPr>
          <w:bCs/>
        </w:rPr>
        <w:t xml:space="preserve"> ---------------------------------------------------------------------------------------------</w:t>
      </w:r>
    </w:p>
    <w:p w14:paraId="45C2B483" w14:textId="77777777" w:rsidR="001D155E" w:rsidRDefault="001D155E" w:rsidP="001D155E">
      <w:pPr>
        <w:autoSpaceDE w:val="0"/>
        <w:autoSpaceDN w:val="0"/>
        <w:adjustRightInd w:val="0"/>
        <w:jc w:val="both"/>
        <w:rPr>
          <w:rFonts w:ascii="Arial" w:hAnsi="Arial" w:cs="Arial"/>
          <w:b/>
          <w:bCs/>
        </w:rPr>
      </w:pPr>
    </w:p>
    <w:p w14:paraId="7C213973" w14:textId="696794C2" w:rsidR="001D155E" w:rsidRPr="003457CB" w:rsidRDefault="001D155E" w:rsidP="001D155E">
      <w:pPr>
        <w:pStyle w:val="TESISYJURIS"/>
        <w:rPr>
          <w:sz w:val="22"/>
        </w:rPr>
      </w:pPr>
      <w:r w:rsidRPr="003457CB">
        <w:rPr>
          <w:b/>
          <w:sz w:val="22"/>
        </w:rPr>
        <w:t xml:space="preserve">Artículo 21.- </w:t>
      </w:r>
      <w:r w:rsidRPr="003457CB">
        <w:rPr>
          <w:sz w:val="22"/>
        </w:rPr>
        <w:t>Los vehículos automotores deben circular con:</w:t>
      </w:r>
    </w:p>
    <w:p w14:paraId="21A5DF00" w14:textId="77777777" w:rsidR="001D155E" w:rsidRPr="003457CB" w:rsidRDefault="001D155E" w:rsidP="001D155E">
      <w:pPr>
        <w:pStyle w:val="TESISYJURIS"/>
        <w:rPr>
          <w:sz w:val="22"/>
        </w:rPr>
      </w:pPr>
    </w:p>
    <w:p w14:paraId="5C064FF5" w14:textId="6F9266CC" w:rsidR="001D155E" w:rsidRPr="003457CB" w:rsidRDefault="005D2090" w:rsidP="001D155E">
      <w:pPr>
        <w:pStyle w:val="TESISYJURIS"/>
        <w:rPr>
          <w:sz w:val="22"/>
        </w:rPr>
      </w:pPr>
      <w:r w:rsidRPr="003457CB">
        <w:rPr>
          <w:sz w:val="22"/>
        </w:rPr>
        <w:t>I</w:t>
      </w:r>
    </w:p>
    <w:p w14:paraId="5E7E9BAA" w14:textId="129DC38B" w:rsidR="005D2090" w:rsidRPr="003457CB" w:rsidRDefault="005D2090" w:rsidP="001D155E">
      <w:pPr>
        <w:pStyle w:val="TESISYJURIS"/>
        <w:rPr>
          <w:sz w:val="22"/>
        </w:rPr>
      </w:pPr>
      <w:r w:rsidRPr="003457CB">
        <w:rPr>
          <w:sz w:val="22"/>
        </w:rPr>
        <w:t>…</w:t>
      </w:r>
    </w:p>
    <w:p w14:paraId="6BC44CE7" w14:textId="60693B15" w:rsidR="001D155E" w:rsidRPr="003457CB" w:rsidRDefault="001D155E" w:rsidP="001D155E">
      <w:pPr>
        <w:pStyle w:val="TESISYJURIS"/>
        <w:rPr>
          <w:sz w:val="22"/>
        </w:rPr>
      </w:pPr>
      <w:r w:rsidRPr="003457CB">
        <w:rPr>
          <w:sz w:val="22"/>
        </w:rPr>
        <w:t>III. El holograma o la documentación</w:t>
      </w:r>
      <w:r w:rsidRPr="003457CB">
        <w:rPr>
          <w:b/>
          <w:color w:val="FF0000"/>
          <w:sz w:val="22"/>
        </w:rPr>
        <w:t xml:space="preserve"> </w:t>
      </w:r>
      <w:r w:rsidRPr="003457CB">
        <w:rPr>
          <w:sz w:val="22"/>
        </w:rPr>
        <w:t>que acredite haber sido verificado en el semestre que transcurre. En caso de que el plazo del semestre que transcurre no haya vencido, deberá acreditarse, con el holograma o documentación respectiva, que se efectuó la verificación del semestre anterior conforme al programa estatal de verificación vehicular.</w:t>
      </w:r>
    </w:p>
    <w:p w14:paraId="7BD30C14" w14:textId="77777777" w:rsidR="001D155E" w:rsidRPr="003457CB" w:rsidRDefault="001D155E" w:rsidP="001D155E">
      <w:pPr>
        <w:pStyle w:val="TESISYJURIS"/>
        <w:rPr>
          <w:sz w:val="22"/>
        </w:rPr>
      </w:pPr>
    </w:p>
    <w:p w14:paraId="5E44DEE2" w14:textId="77777777" w:rsidR="00120057" w:rsidRDefault="00120057" w:rsidP="00FE76EB">
      <w:pPr>
        <w:pStyle w:val="RESOLUCIONES"/>
        <w:rPr>
          <w:bCs/>
        </w:rPr>
      </w:pPr>
    </w:p>
    <w:p w14:paraId="12CD8112" w14:textId="4FE14598" w:rsidR="005D2090" w:rsidRDefault="00FE76EB" w:rsidP="005D2090">
      <w:pPr>
        <w:pStyle w:val="RESOLUCIONES"/>
        <w:rPr>
          <w:rStyle w:val="RESOLUCIONESCar"/>
        </w:rPr>
      </w:pPr>
      <w:r>
        <w:rPr>
          <w:rStyle w:val="RESOLUCIONESCar"/>
        </w:rPr>
        <w:t xml:space="preserve">De igual manera, respecto a la falta atribuida a la justiciable, </w:t>
      </w:r>
      <w:r w:rsidR="001D155E">
        <w:rPr>
          <w:rStyle w:val="RESOLUCIONESCar"/>
          <w:i/>
        </w:rPr>
        <w:t>“por no hacer uso del cinturón de seguridad”</w:t>
      </w:r>
      <w:r>
        <w:rPr>
          <w:rStyle w:val="RESOLUCIONESCar"/>
        </w:rPr>
        <w:t xml:space="preserve">, </w:t>
      </w:r>
      <w:r w:rsidR="001D155E">
        <w:rPr>
          <w:rStyle w:val="RESOLUCIONESCar"/>
        </w:rPr>
        <w:t xml:space="preserve">se aprecia que realiza una aseveración superficial, sin especificar </w:t>
      </w:r>
      <w:r w:rsidR="005D2090">
        <w:rPr>
          <w:rStyle w:val="RESOLUCIONESCar"/>
        </w:rPr>
        <w:t xml:space="preserve">cómo se percató del hecho, ya que no señala </w:t>
      </w:r>
      <w:r w:rsidR="005D2090" w:rsidRPr="005D2090">
        <w:rPr>
          <w:rStyle w:val="RESOLUCIONESCar"/>
        </w:rPr>
        <w:t>las circunstancias de modo o cualquier otra que advirtió y le generó convicción respecto a la conducta reprochada al actor</w:t>
      </w:r>
      <w:r w:rsidR="005D2090">
        <w:rPr>
          <w:rStyle w:val="RESOLUCIONESCar"/>
        </w:rPr>
        <w:t xml:space="preserve">, ya que se aprecia que </w:t>
      </w:r>
      <w:r w:rsidR="005D2090" w:rsidRPr="005D2090">
        <w:rPr>
          <w:rStyle w:val="RESOLUCIONESCar"/>
        </w:rPr>
        <w:t xml:space="preserve">la autoridad emisora del acto se limitó a rellenar un espacio con leyenda pre-impresa como indicador de la presunta conducta infractor del actor y no a la expresión escrita </w:t>
      </w:r>
      <w:r w:rsidR="005D2090" w:rsidRPr="005D2090">
        <w:rPr>
          <w:rStyle w:val="RESOLUCIONESCar"/>
        </w:rPr>
        <w:lastRenderedPageBreak/>
        <w:t>que comunica al particular la motivación que actualiza la hipótesis legal prevista, para su conocimiento y defensa</w:t>
      </w:r>
      <w:r w:rsidR="005D2090">
        <w:rPr>
          <w:rStyle w:val="RESOLUCIONESCar"/>
        </w:rPr>
        <w:t>. ------------------------------------------------</w:t>
      </w:r>
    </w:p>
    <w:p w14:paraId="4C058B10" w14:textId="77777777" w:rsidR="005D2090" w:rsidRDefault="005D2090" w:rsidP="005D2090">
      <w:pPr>
        <w:pStyle w:val="RESOLUCIONES"/>
        <w:rPr>
          <w:rStyle w:val="RESOLUCIONESCar"/>
        </w:rPr>
      </w:pPr>
    </w:p>
    <w:p w14:paraId="7747CA6B" w14:textId="77777777"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3CED5693"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t>6810</w:t>
      </w:r>
      <w:r w:rsidR="005D2090">
        <w:t>03</w:t>
      </w:r>
      <w:r w:rsidRPr="00E1257C">
        <w:t xml:space="preserve"> (Letra T cinco s</w:t>
      </w:r>
      <w:r>
        <w:t xml:space="preserve">eis ocho uno cero </w:t>
      </w:r>
      <w:r w:rsidR="005D2090">
        <w:t>cero tres</w:t>
      </w:r>
      <w:r w:rsidRPr="00E1257C">
        <w:t xml:space="preserve">), de fecha </w:t>
      </w:r>
      <w:r w:rsidR="005D2090">
        <w:t>14 catorce de noviembre</w:t>
      </w:r>
      <w:r>
        <w:t xml:space="preserve"> </w:t>
      </w:r>
      <w:r w:rsidRPr="00E1257C">
        <w:t>del año 2017 dos mil diecisiete</w:t>
      </w:r>
      <w:r>
        <w:t>, emitida por el Agente de Tránsito Municipal. -------------------------------------------------------------------------------------------</w:t>
      </w:r>
    </w:p>
    <w:p w14:paraId="02777C92" w14:textId="77777777" w:rsidR="00FE76EB" w:rsidRDefault="00FE76EB" w:rsidP="00FE76EB">
      <w:pPr>
        <w:pStyle w:val="SENTENCIAS"/>
        <w:rPr>
          <w:rStyle w:val="RESOLUCIONESCar"/>
        </w:rPr>
      </w:pPr>
    </w:p>
    <w:p w14:paraId="03E2DAC2" w14:textId="0A9120B2" w:rsidR="00E1257C" w:rsidRPr="00E1257C" w:rsidRDefault="003457CB" w:rsidP="00E1257C">
      <w:pPr>
        <w:spacing w:line="360" w:lineRule="auto"/>
        <w:ind w:firstLine="709"/>
        <w:jc w:val="both"/>
        <w:rPr>
          <w:rFonts w:ascii="Century" w:hAnsi="Century"/>
          <w:lang w:val="es-MX"/>
        </w:rPr>
      </w:pPr>
      <w:r>
        <w:rPr>
          <w:rFonts w:ascii="Century" w:hAnsi="Century"/>
        </w:rPr>
        <w:t>Sirve de apoyo a lo anterior, el</w:t>
      </w:r>
      <w:r w:rsidR="00E1257C" w:rsidRPr="00E1257C">
        <w:rPr>
          <w:rFonts w:ascii="Century" w:hAnsi="Century"/>
          <w:lang w:val="es-MX"/>
        </w:rPr>
        <w:t xml:space="preserve"> criterio </w:t>
      </w:r>
      <w:r>
        <w:rPr>
          <w:rFonts w:ascii="Century" w:hAnsi="Century"/>
          <w:lang w:val="es-MX"/>
        </w:rPr>
        <w:t xml:space="preserve">de </w:t>
      </w:r>
      <w:r w:rsidR="00E1257C" w:rsidRPr="00E1257C">
        <w:rPr>
          <w:rFonts w:ascii="Century" w:hAnsi="Century"/>
          <w:lang w:val="es-MX"/>
        </w:rPr>
        <w:t xml:space="preserve">la Primera Sala del </w:t>
      </w:r>
      <w:r>
        <w:rPr>
          <w:rFonts w:ascii="Century" w:hAnsi="Century"/>
          <w:lang w:val="es-MX"/>
        </w:rPr>
        <w:t xml:space="preserve">entonces </w:t>
      </w:r>
      <w:r w:rsidR="00E1257C" w:rsidRPr="00E1257C">
        <w:rPr>
          <w:rFonts w:ascii="Century" w:hAnsi="Century"/>
          <w:lang w:val="es-MX"/>
        </w:rPr>
        <w:t>Tribunal de lo Contencioso Administrativo del Estado</w:t>
      </w:r>
      <w:r>
        <w:rPr>
          <w:rFonts w:ascii="Century" w:hAnsi="Century"/>
          <w:lang w:val="es-MX"/>
        </w:rPr>
        <w:t xml:space="preserve"> de Guanajuato</w:t>
      </w:r>
      <w:r w:rsidR="00EF0A3D">
        <w:rPr>
          <w:rFonts w:ascii="Century" w:hAnsi="Century"/>
          <w:lang w:val="es-MX"/>
        </w:rPr>
        <w:t>: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24F8283" w:rsidR="00E1257C" w:rsidRPr="003457CB" w:rsidRDefault="00E1257C" w:rsidP="00FE76EB">
      <w:pPr>
        <w:pStyle w:val="TESISYJURIS"/>
        <w:rPr>
          <w:sz w:val="22"/>
          <w:lang w:val="es-MX"/>
        </w:rPr>
      </w:pPr>
      <w:r w:rsidRPr="003457CB">
        <w:rPr>
          <w:b/>
          <w:sz w:val="22"/>
          <w:lang w:val="es-MX"/>
        </w:rPr>
        <w:t xml:space="preserve">“INDEBIDA FUNDAMENTACIÓN Y MOTIVACIÓN.- PROCEDE DECRETAR LA NULIDAD LISA Y LLANA.- </w:t>
      </w:r>
      <w:r w:rsidRPr="003457CB">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3457CB">
        <w:rPr>
          <w:sz w:val="22"/>
          <w:lang w:val="es-MX"/>
        </w:rPr>
        <w:t xml:space="preserve">el Espriu Manrique). </w:t>
      </w:r>
    </w:p>
    <w:p w14:paraId="42A66A7B" w14:textId="77777777" w:rsidR="00E1257C" w:rsidRPr="003457CB" w:rsidRDefault="00E1257C" w:rsidP="00FE76EB">
      <w:pPr>
        <w:pStyle w:val="TESISYJURIS"/>
        <w:rPr>
          <w:sz w:val="22"/>
          <w:lang w:val="es-MX"/>
        </w:rPr>
      </w:pPr>
      <w:r w:rsidRPr="003457CB">
        <w:rPr>
          <w:sz w:val="22"/>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lastRenderedPageBreak/>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74711A1" w:rsidR="00E1257C" w:rsidRPr="003457CB" w:rsidRDefault="00E1257C" w:rsidP="00FE76EB">
      <w:pPr>
        <w:pStyle w:val="TESISYJURIS"/>
        <w:rPr>
          <w:sz w:val="22"/>
          <w:lang w:val="es-MX"/>
        </w:rPr>
      </w:pPr>
      <w:r w:rsidRPr="003457CB">
        <w:rPr>
          <w:b/>
          <w:sz w:val="22"/>
          <w:lang w:val="es-MX"/>
        </w:rPr>
        <w:t xml:space="preserve">“CONCEPTOS DE VIOLACION. CUANDO SU ESTUDIO ES INNECESARIO. </w:t>
      </w:r>
      <w:r w:rsidRPr="003457CB">
        <w:rPr>
          <w:sz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w:t>
      </w:r>
      <w:r w:rsidR="003457CB">
        <w:rPr>
          <w:sz w:val="22"/>
          <w:lang w:val="es-MX"/>
        </w:rPr>
        <w:t xml:space="preserve">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9E5654F" w14:textId="2B320BCF" w:rsidR="00E1257C" w:rsidRPr="00E1257C" w:rsidRDefault="00E1257C" w:rsidP="00E1257C">
      <w:pPr>
        <w:spacing w:line="360" w:lineRule="auto"/>
        <w:ind w:firstLine="709"/>
        <w:jc w:val="both"/>
        <w:rPr>
          <w:rFonts w:ascii="Century" w:hAnsi="Century"/>
          <w:iCs/>
        </w:rPr>
      </w:pPr>
      <w:r w:rsidRPr="00E1257C">
        <w:rPr>
          <w:rFonts w:ascii="Century" w:hAnsi="Century"/>
          <w:b/>
          <w:bCs/>
          <w:iCs/>
        </w:rPr>
        <w:t>OCTAVO</w:t>
      </w:r>
      <w:r w:rsidRPr="00E1257C">
        <w:rPr>
          <w:rFonts w:ascii="Century" w:hAnsi="Century"/>
          <w:iCs/>
        </w:rPr>
        <w:t xml:space="preserve">. En virtud de haberse decretado la nulidad total del acta de infracción combatida, resulta procedente la devolución de la </w:t>
      </w:r>
      <w:r w:rsidR="00FE76EB">
        <w:rPr>
          <w:rFonts w:ascii="Century" w:hAnsi="Century"/>
          <w:iCs/>
        </w:rPr>
        <w:t>placa metálica</w:t>
      </w:r>
      <w:r w:rsidRPr="00E1257C">
        <w:rPr>
          <w:rFonts w:ascii="Century" w:hAnsi="Century"/>
          <w:iCs/>
        </w:rPr>
        <w:t xml:space="preserve"> </w:t>
      </w:r>
      <w:r w:rsidR="005D2090">
        <w:rPr>
          <w:rFonts w:ascii="Century" w:hAnsi="Century"/>
          <w:iCs/>
        </w:rPr>
        <w:t xml:space="preserve">o bien del documento </w:t>
      </w:r>
      <w:r w:rsidRPr="00E1257C">
        <w:rPr>
          <w:rFonts w:ascii="Century" w:hAnsi="Century"/>
          <w:iCs/>
        </w:rPr>
        <w:t>recogid</w:t>
      </w:r>
      <w:r w:rsidR="005D2090">
        <w:rPr>
          <w:rFonts w:ascii="Century" w:hAnsi="Century"/>
          <w:iCs/>
        </w:rPr>
        <w:t>o</w:t>
      </w:r>
      <w:r w:rsidRPr="00E1257C">
        <w:rPr>
          <w:rFonts w:ascii="Century" w:hAnsi="Century"/>
          <w:iCs/>
        </w:rPr>
        <w:t xml:space="preserve"> en garantía</w:t>
      </w:r>
      <w:r w:rsidR="005D2090">
        <w:rPr>
          <w:rFonts w:ascii="Century" w:hAnsi="Century"/>
          <w:iCs/>
        </w:rPr>
        <w:t xml:space="preserve"> (ya que en la boleta impugnada se hace referencia a la tarjeta de circulación</w:t>
      </w:r>
      <w:r w:rsidR="00A16A38">
        <w:rPr>
          <w:rFonts w:ascii="Century" w:hAnsi="Century"/>
          <w:iCs/>
        </w:rPr>
        <w:t>)</w:t>
      </w:r>
      <w:r w:rsidR="005D2090">
        <w:rPr>
          <w:rFonts w:ascii="Century" w:hAnsi="Century"/>
          <w:iCs/>
        </w:rPr>
        <w:t xml:space="preserve">. </w:t>
      </w:r>
      <w:r w:rsidRPr="00E1257C">
        <w:rPr>
          <w:rFonts w:ascii="Century" w:hAnsi="Century"/>
        </w:rPr>
        <w:t>Por tanto, se condena a</w:t>
      </w:r>
      <w:r w:rsidR="00FE76EB">
        <w:rPr>
          <w:rFonts w:ascii="Century" w:hAnsi="Century"/>
        </w:rPr>
        <w:t>l</w:t>
      </w:r>
      <w:r w:rsidRPr="00E1257C">
        <w:rPr>
          <w:rFonts w:ascii="Century" w:hAnsi="Century"/>
        </w:rPr>
        <w:t xml:space="preserve"> agente de tránsito municipal demandad</w:t>
      </w:r>
      <w:r w:rsidR="00FE76EB">
        <w:rPr>
          <w:rFonts w:ascii="Century" w:hAnsi="Century"/>
        </w:rPr>
        <w:t>o</w:t>
      </w:r>
      <w:r w:rsidRPr="00E1257C">
        <w:rPr>
          <w:rFonts w:ascii="Century" w:hAnsi="Century"/>
        </w:rPr>
        <w:t xml:space="preserve"> a realizar las gestiones</w:t>
      </w:r>
      <w:r w:rsidR="00896B36">
        <w:rPr>
          <w:rFonts w:ascii="Century" w:hAnsi="Century"/>
        </w:rPr>
        <w:t xml:space="preserve"> necesarias para la devolución d</w:t>
      </w:r>
      <w:r w:rsidRPr="00E1257C">
        <w:rPr>
          <w:rFonts w:ascii="Century" w:hAnsi="Century"/>
        </w:rPr>
        <w:t>e dicho documento al impetrante, lo anterior, dentro de los 15 quince días siguientes a aquél en que haya causado ejecutoria la presente resolución, ello al tenor de lo dispuesto en el artículo 322 del Código de Procedimiento y Justicia</w:t>
      </w:r>
      <w:r w:rsidRPr="00E1257C">
        <w:rPr>
          <w:rFonts w:ascii="Century" w:hAnsi="Century"/>
          <w:iCs/>
        </w:rPr>
        <w:t xml:space="preserve"> Administrativa para el Estado y los Municipios de Guanajuato. ---</w:t>
      </w:r>
      <w:r w:rsidR="007D318B">
        <w:rPr>
          <w:rFonts w:ascii="Century" w:hAnsi="Century"/>
          <w:iCs/>
        </w:rPr>
        <w:t>-----</w:t>
      </w:r>
      <w:r w:rsidR="00896B36">
        <w:rPr>
          <w:rFonts w:ascii="Century" w:hAnsi="Century"/>
          <w:iCs/>
        </w:rPr>
        <w:t>-----------------------------------------------------------------------</w:t>
      </w:r>
      <w:r w:rsidR="007D318B">
        <w:rPr>
          <w:rFonts w:ascii="Century" w:hAnsi="Century"/>
          <w:iCs/>
        </w:rPr>
        <w:t>------</w:t>
      </w:r>
      <w:r w:rsidRPr="00E1257C">
        <w:rPr>
          <w:rFonts w:ascii="Century" w:hAnsi="Century"/>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401A656D"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FE76EB">
        <w:t>6810</w:t>
      </w:r>
      <w:r w:rsidR="00896B36">
        <w:t>03</w:t>
      </w:r>
      <w:r w:rsidR="00FE76EB" w:rsidRPr="00E1257C">
        <w:t xml:space="preserve"> (Letra T cinco s</w:t>
      </w:r>
      <w:r w:rsidR="00FE76EB">
        <w:t xml:space="preserve">eis ocho uno cero </w:t>
      </w:r>
      <w:r w:rsidR="00896B36">
        <w:t>cero tres</w:t>
      </w:r>
      <w:r w:rsidR="00FE76EB" w:rsidRPr="00E1257C">
        <w:t xml:space="preserve">), de fecha </w:t>
      </w:r>
      <w:r w:rsidR="00896B36">
        <w:t>14 catorce de noviembre del a</w:t>
      </w:r>
      <w:r w:rsidR="00FE76EB" w:rsidRPr="00E1257C">
        <w:t>ño 2017 dos mil diecisiete</w:t>
      </w:r>
      <w:r w:rsidRPr="00E1257C">
        <w:t>; ello conforme a las consideraciones lógicas y jurídicas expresadas en el Considerando Sexto de esta sentencia. -</w:t>
      </w:r>
      <w:r w:rsidR="00FE76EB">
        <w:t>---</w:t>
      </w:r>
      <w:r w:rsidR="00896B36">
        <w:t>----------------------------------------------------------------------------------</w:t>
      </w:r>
    </w:p>
    <w:p w14:paraId="49071F1E" w14:textId="77777777" w:rsidR="00E1257C" w:rsidRPr="00E1257C" w:rsidRDefault="00E1257C" w:rsidP="00FE76EB">
      <w:pPr>
        <w:pStyle w:val="SENTENCIAS"/>
        <w:rPr>
          <w:b/>
          <w:bCs/>
          <w:iCs/>
        </w:rPr>
      </w:pPr>
    </w:p>
    <w:p w14:paraId="31418B8E" w14:textId="6AC3BAC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En virtud de haberse decretado la nulidad total del acta de infracción combatida, resulta procedente la devolución del</w:t>
      </w:r>
      <w:r w:rsidR="002E4C45">
        <w:rPr>
          <w:rFonts w:ascii="Century" w:hAnsi="Century"/>
          <w:iCs/>
          <w:lang w:val="es-MX"/>
        </w:rPr>
        <w:t xml:space="preserve"> </w:t>
      </w:r>
      <w:r w:rsidR="00896B36">
        <w:rPr>
          <w:rFonts w:ascii="Century" w:hAnsi="Century"/>
          <w:iCs/>
          <w:lang w:val="es-MX"/>
        </w:rPr>
        <w:t xml:space="preserve">documento </w:t>
      </w:r>
      <w:r w:rsidRPr="00E1257C">
        <w:rPr>
          <w:rFonts w:ascii="Century" w:hAnsi="Century"/>
          <w:iCs/>
          <w:lang w:val="es-MX"/>
        </w:rPr>
        <w:t>recogid</w:t>
      </w:r>
      <w:r w:rsidR="00896B36">
        <w:rPr>
          <w:rFonts w:ascii="Century" w:hAnsi="Century"/>
          <w:iCs/>
          <w:lang w:val="es-MX"/>
        </w:rPr>
        <w:t>o</w:t>
      </w:r>
      <w:r w:rsidRPr="00E1257C">
        <w:rPr>
          <w:rFonts w:ascii="Century" w:hAnsi="Century"/>
          <w:iCs/>
          <w:lang w:val="es-MX"/>
        </w:rPr>
        <w:t xml:space="preserve"> en garantía, por lo que </w:t>
      </w:r>
      <w:r w:rsidRPr="00E1257C">
        <w:rPr>
          <w:rFonts w:ascii="Century" w:hAnsi="Century"/>
          <w:lang w:val="es-MX"/>
        </w:rPr>
        <w:t>se condena a que la autoridad demandada realice las gestiones necesarias para la devolución del referido documento; ello en términos de lo determinado en el Considerando Octavo de esta resolución. -</w:t>
      </w:r>
      <w:r w:rsidR="00EF0A3D">
        <w:rPr>
          <w:rFonts w:ascii="Century" w:hAnsi="Century"/>
          <w:lang w:val="es-MX"/>
        </w:rPr>
        <w:t>---</w:t>
      </w:r>
    </w:p>
    <w:p w14:paraId="3A938F44" w14:textId="77777777" w:rsidR="00E1257C" w:rsidRPr="00E1257C" w:rsidRDefault="00E1257C" w:rsidP="00E1257C">
      <w:pPr>
        <w:spacing w:line="360" w:lineRule="auto"/>
        <w:ind w:firstLine="709"/>
        <w:jc w:val="both"/>
        <w:rPr>
          <w:rFonts w:ascii="Century" w:hAnsi="Century"/>
          <w:b/>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E1257C" w:rsidRDefault="00E1257C" w:rsidP="00E1257C">
      <w:pPr>
        <w:spacing w:line="360" w:lineRule="auto"/>
        <w:ind w:firstLine="709"/>
        <w:jc w:val="both"/>
        <w:rPr>
          <w:rFonts w:ascii="Century" w:hAnsi="Century"/>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3457C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0EADA" w14:textId="77777777" w:rsidR="008F04A6" w:rsidRDefault="008F04A6">
      <w:r>
        <w:separator/>
      </w:r>
    </w:p>
  </w:endnote>
  <w:endnote w:type="continuationSeparator" w:id="0">
    <w:p w14:paraId="5C68BDC2" w14:textId="77777777" w:rsidR="008F04A6" w:rsidRDefault="008F04A6">
      <w:r>
        <w:continuationSeparator/>
      </w:r>
    </w:p>
  </w:endnote>
  <w:endnote w:type="continuationNotice" w:id="1">
    <w:p w14:paraId="168E7CB2" w14:textId="77777777" w:rsidR="008F04A6" w:rsidRDefault="008F0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FA1B9EA"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E32E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E32E4">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C1131" w14:textId="77777777" w:rsidR="008F04A6" w:rsidRDefault="008F04A6">
      <w:r>
        <w:separator/>
      </w:r>
    </w:p>
  </w:footnote>
  <w:footnote w:type="continuationSeparator" w:id="0">
    <w:p w14:paraId="00B5F6E9" w14:textId="77777777" w:rsidR="008F04A6" w:rsidRDefault="008F04A6">
      <w:r>
        <w:continuationSeparator/>
      </w:r>
    </w:p>
  </w:footnote>
  <w:footnote w:type="continuationNotice" w:id="1">
    <w:p w14:paraId="7B53EE2F" w14:textId="77777777" w:rsidR="008F04A6" w:rsidRDefault="008F04A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571BCF38" w:rsidR="0090042C" w:rsidRDefault="0090042C" w:rsidP="007F7AC8">
    <w:pPr>
      <w:pStyle w:val="Encabezado"/>
      <w:jc w:val="right"/>
    </w:pPr>
    <w:r>
      <w:rPr>
        <w:color w:val="7F7F7F" w:themeColor="text1" w:themeTint="80"/>
      </w:rPr>
      <w:t>Expediente Número 1</w:t>
    </w:r>
    <w:r w:rsidR="00217200">
      <w:rPr>
        <w:color w:val="7F7F7F" w:themeColor="text1" w:themeTint="80"/>
      </w:rPr>
      <w:t>480</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387C1D"/>
    <w:multiLevelType w:val="hybridMultilevel"/>
    <w:tmpl w:val="812CF8E2"/>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5AB23F5"/>
    <w:multiLevelType w:val="hybridMultilevel"/>
    <w:tmpl w:val="2682B232"/>
    <w:lvl w:ilvl="0" w:tplc="D6F2C264">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7F175FA4"/>
    <w:multiLevelType w:val="hybridMultilevel"/>
    <w:tmpl w:val="5C4AECF8"/>
    <w:lvl w:ilvl="0" w:tplc="0BD8B2CA">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19"/>
  </w:num>
  <w:num w:numId="3">
    <w:abstractNumId w:val="14"/>
  </w:num>
  <w:num w:numId="4">
    <w:abstractNumId w:val="5"/>
  </w:num>
  <w:num w:numId="5">
    <w:abstractNumId w:val="0"/>
  </w:num>
  <w:num w:numId="6">
    <w:abstractNumId w:val="1"/>
  </w:num>
  <w:num w:numId="7">
    <w:abstractNumId w:val="11"/>
  </w:num>
  <w:num w:numId="8">
    <w:abstractNumId w:val="20"/>
  </w:num>
  <w:num w:numId="9">
    <w:abstractNumId w:val="21"/>
  </w:num>
  <w:num w:numId="10">
    <w:abstractNumId w:val="13"/>
  </w:num>
  <w:num w:numId="11">
    <w:abstractNumId w:val="3"/>
  </w:num>
  <w:num w:numId="12">
    <w:abstractNumId w:val="17"/>
  </w:num>
  <w:num w:numId="13">
    <w:abstractNumId w:val="4"/>
  </w:num>
  <w:num w:numId="14">
    <w:abstractNumId w:val="16"/>
  </w:num>
  <w:num w:numId="15">
    <w:abstractNumId w:val="15"/>
  </w:num>
  <w:num w:numId="16">
    <w:abstractNumId w:val="12"/>
  </w:num>
  <w:num w:numId="17">
    <w:abstractNumId w:val="9"/>
  </w:num>
  <w:num w:numId="18">
    <w:abstractNumId w:val="8"/>
  </w:num>
  <w:num w:numId="19">
    <w:abstractNumId w:val="10"/>
  </w:num>
  <w:num w:numId="20">
    <w:abstractNumId w:val="7"/>
  </w:num>
  <w:num w:numId="21">
    <w:abstractNumId w:val="22"/>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4285"/>
    <w:rsid w:val="000F6226"/>
    <w:rsid w:val="000F6283"/>
    <w:rsid w:val="000F758B"/>
    <w:rsid w:val="00104D04"/>
    <w:rsid w:val="00106C23"/>
    <w:rsid w:val="00107D89"/>
    <w:rsid w:val="00110BF8"/>
    <w:rsid w:val="001124AC"/>
    <w:rsid w:val="00112D4E"/>
    <w:rsid w:val="00115847"/>
    <w:rsid w:val="0011662F"/>
    <w:rsid w:val="00120057"/>
    <w:rsid w:val="00124A1C"/>
    <w:rsid w:val="001251EE"/>
    <w:rsid w:val="001266D5"/>
    <w:rsid w:val="00130106"/>
    <w:rsid w:val="0013112C"/>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A0E0F"/>
    <w:rsid w:val="001A4DFA"/>
    <w:rsid w:val="001A4EE8"/>
    <w:rsid w:val="001A7300"/>
    <w:rsid w:val="001B0A47"/>
    <w:rsid w:val="001B2937"/>
    <w:rsid w:val="001B6AC3"/>
    <w:rsid w:val="001C0547"/>
    <w:rsid w:val="001C117B"/>
    <w:rsid w:val="001C137F"/>
    <w:rsid w:val="001C5414"/>
    <w:rsid w:val="001C6955"/>
    <w:rsid w:val="001D0AFA"/>
    <w:rsid w:val="001D155E"/>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200"/>
    <w:rsid w:val="00217D2E"/>
    <w:rsid w:val="00222643"/>
    <w:rsid w:val="00223E77"/>
    <w:rsid w:val="00226383"/>
    <w:rsid w:val="0022644A"/>
    <w:rsid w:val="00231BEA"/>
    <w:rsid w:val="00235C6A"/>
    <w:rsid w:val="002405CE"/>
    <w:rsid w:val="00240D3C"/>
    <w:rsid w:val="002411A0"/>
    <w:rsid w:val="00246949"/>
    <w:rsid w:val="00247E84"/>
    <w:rsid w:val="0025224F"/>
    <w:rsid w:val="00255BEC"/>
    <w:rsid w:val="00266B1D"/>
    <w:rsid w:val="002759E9"/>
    <w:rsid w:val="0028067E"/>
    <w:rsid w:val="00280ED2"/>
    <w:rsid w:val="00282624"/>
    <w:rsid w:val="00285905"/>
    <w:rsid w:val="00291CC5"/>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618E"/>
    <w:rsid w:val="0032074B"/>
    <w:rsid w:val="00324166"/>
    <w:rsid w:val="003244CB"/>
    <w:rsid w:val="00324DF7"/>
    <w:rsid w:val="003275CF"/>
    <w:rsid w:val="003279BA"/>
    <w:rsid w:val="00331A25"/>
    <w:rsid w:val="00336B61"/>
    <w:rsid w:val="003449FF"/>
    <w:rsid w:val="003457CB"/>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1AB"/>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473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4F550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4DF0"/>
    <w:rsid w:val="005C5A39"/>
    <w:rsid w:val="005C6597"/>
    <w:rsid w:val="005C7F15"/>
    <w:rsid w:val="005D2090"/>
    <w:rsid w:val="005D48BA"/>
    <w:rsid w:val="005D4DE5"/>
    <w:rsid w:val="005D53EB"/>
    <w:rsid w:val="005E327B"/>
    <w:rsid w:val="005F443F"/>
    <w:rsid w:val="00605B32"/>
    <w:rsid w:val="0060678A"/>
    <w:rsid w:val="0061011B"/>
    <w:rsid w:val="006134B7"/>
    <w:rsid w:val="006221F3"/>
    <w:rsid w:val="00623568"/>
    <w:rsid w:val="00626F09"/>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1E75"/>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96B36"/>
    <w:rsid w:val="008A48EE"/>
    <w:rsid w:val="008A79DC"/>
    <w:rsid w:val="008B1A83"/>
    <w:rsid w:val="008B2AE9"/>
    <w:rsid w:val="008B39CE"/>
    <w:rsid w:val="008B40CC"/>
    <w:rsid w:val="008B50E7"/>
    <w:rsid w:val="008D0FC4"/>
    <w:rsid w:val="008D515E"/>
    <w:rsid w:val="008E6BF6"/>
    <w:rsid w:val="008F04A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0704"/>
    <w:rsid w:val="009A189C"/>
    <w:rsid w:val="009A1E38"/>
    <w:rsid w:val="009A6D5C"/>
    <w:rsid w:val="009B782D"/>
    <w:rsid w:val="009C06A3"/>
    <w:rsid w:val="009C30E1"/>
    <w:rsid w:val="009C7181"/>
    <w:rsid w:val="009C749A"/>
    <w:rsid w:val="009C7631"/>
    <w:rsid w:val="009D459B"/>
    <w:rsid w:val="009D4848"/>
    <w:rsid w:val="009D71B3"/>
    <w:rsid w:val="009E16CA"/>
    <w:rsid w:val="009E596D"/>
    <w:rsid w:val="009E6EA0"/>
    <w:rsid w:val="00A00666"/>
    <w:rsid w:val="00A02538"/>
    <w:rsid w:val="00A032A2"/>
    <w:rsid w:val="00A07764"/>
    <w:rsid w:val="00A138A8"/>
    <w:rsid w:val="00A15255"/>
    <w:rsid w:val="00A16A38"/>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1740"/>
    <w:rsid w:val="00A82DA9"/>
    <w:rsid w:val="00A90FFF"/>
    <w:rsid w:val="00A927B1"/>
    <w:rsid w:val="00A92D08"/>
    <w:rsid w:val="00A9352D"/>
    <w:rsid w:val="00A95969"/>
    <w:rsid w:val="00AA0B73"/>
    <w:rsid w:val="00AA72AC"/>
    <w:rsid w:val="00AB53E6"/>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3530"/>
    <w:rsid w:val="00BB07A0"/>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0E21"/>
    <w:rsid w:val="00C27107"/>
    <w:rsid w:val="00C31506"/>
    <w:rsid w:val="00C31907"/>
    <w:rsid w:val="00C3353C"/>
    <w:rsid w:val="00C35EE3"/>
    <w:rsid w:val="00C36D3B"/>
    <w:rsid w:val="00C37ADC"/>
    <w:rsid w:val="00C41064"/>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1759"/>
    <w:rsid w:val="00D63B6A"/>
    <w:rsid w:val="00D674A0"/>
    <w:rsid w:val="00D6760D"/>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2E4"/>
    <w:rsid w:val="00DE38AF"/>
    <w:rsid w:val="00DE3ECD"/>
    <w:rsid w:val="00DE5A62"/>
    <w:rsid w:val="00DF133F"/>
    <w:rsid w:val="00E05719"/>
    <w:rsid w:val="00E07749"/>
    <w:rsid w:val="00E07A13"/>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20AD"/>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0A3D"/>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672B"/>
    <w:rsid w:val="00F87A64"/>
    <w:rsid w:val="00F91B42"/>
    <w:rsid w:val="00F92C67"/>
    <w:rsid w:val="00F95620"/>
    <w:rsid w:val="00F9623C"/>
    <w:rsid w:val="00F97379"/>
    <w:rsid w:val="00FB121A"/>
    <w:rsid w:val="00FB12AF"/>
    <w:rsid w:val="00FB1E7D"/>
    <w:rsid w:val="00FB3CFB"/>
    <w:rsid w:val="00FB78B2"/>
    <w:rsid w:val="00FB7CCC"/>
    <w:rsid w:val="00FC0388"/>
    <w:rsid w:val="00FC1644"/>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9EDD-7B5F-43FC-867C-CA112A4C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3299</Words>
  <Characters>18149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2018-06-26T16:03:00Z</dcterms:created>
  <dcterms:modified xsi:type="dcterms:W3CDTF">2018-06-26T16:03:00Z</dcterms:modified>
</cp:coreProperties>
</file>